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76C9A079" w:rsidR="0082321A" w:rsidRPr="0082321A" w:rsidRDefault="002545EA" w:rsidP="0082321A">
      <w:pPr>
        <w:pStyle w:val="Title"/>
        <w:rPr>
          <w:lang w:val="en-US"/>
        </w:rPr>
      </w:pPr>
      <w:r>
        <w:rPr>
          <w:lang w:val="en-US"/>
        </w:rPr>
        <w:t>EC-EGPRS terminology</w:t>
      </w:r>
    </w:p>
    <w:p w14:paraId="29420822" w14:textId="77777777" w:rsidR="0082321A" w:rsidRPr="0082321A" w:rsidRDefault="0082321A" w:rsidP="0082321A">
      <w:pPr>
        <w:pStyle w:val="Heading1"/>
        <w:rPr>
          <w:lang w:val="en-US"/>
        </w:rPr>
      </w:pPr>
      <w:r w:rsidRPr="0082321A">
        <w:rPr>
          <w:lang w:val="en-US"/>
        </w:rPr>
        <w:t>Introduction</w:t>
      </w:r>
    </w:p>
    <w:p w14:paraId="29420823" w14:textId="0C082D18" w:rsidR="0082321A" w:rsidRDefault="007108F8" w:rsidP="0082321A">
      <w:pPr>
        <w:pStyle w:val="BodyText"/>
        <w:rPr>
          <w:lang w:val="en-US"/>
        </w:rPr>
      </w:pPr>
      <w:r>
        <w:rPr>
          <w:lang w:val="en-US"/>
        </w:rPr>
        <w:t>At GERAN#67</w:t>
      </w:r>
      <w:r w:rsidR="0082321A" w:rsidRPr="0082321A">
        <w:rPr>
          <w:lang w:val="en-US"/>
        </w:rPr>
        <w:t xml:space="preserve"> a new </w:t>
      </w:r>
      <w:r w:rsidR="002D6177">
        <w:rPr>
          <w:lang w:val="en-US"/>
        </w:rPr>
        <w:t xml:space="preserve">Work Item called </w:t>
      </w:r>
      <w:r w:rsidR="002D6177" w:rsidRPr="007E3D54">
        <w:rPr>
          <w:lang w:val="en-US"/>
        </w:rPr>
        <w:t>Extended Coverage GSM (EC-GSM) for support of Cellular Internet of Things</w:t>
      </w:r>
      <w:r w:rsidR="002D6177" w:rsidRPr="0082321A">
        <w:rPr>
          <w:lang w:val="en-US"/>
        </w:rPr>
        <w:t xml:space="preserve"> </w:t>
      </w:r>
      <w:r w:rsidR="0082321A" w:rsidRPr="0082321A">
        <w:rPr>
          <w:lang w:val="en-US"/>
        </w:rPr>
        <w:t xml:space="preserve">was approved, see </w:t>
      </w:r>
      <w:r w:rsidR="0082321A" w:rsidRPr="0082321A">
        <w:rPr>
          <w:lang w:val="en-US"/>
        </w:rPr>
        <w:fldChar w:fldCharType="begin"/>
      </w:r>
      <w:r w:rsidR="0082321A" w:rsidRPr="0082321A">
        <w:rPr>
          <w:lang w:val="en-US"/>
        </w:rPr>
        <w:instrText xml:space="preserve"> REF _Ref391121529 \r \h  \* MERGEFORMAT </w:instrText>
      </w:r>
      <w:r w:rsidR="0082321A" w:rsidRPr="0082321A">
        <w:rPr>
          <w:lang w:val="en-US"/>
        </w:rPr>
      </w:r>
      <w:r w:rsidR="0082321A" w:rsidRPr="0082321A">
        <w:rPr>
          <w:lang w:val="en-US"/>
        </w:rPr>
        <w:fldChar w:fldCharType="separate"/>
      </w:r>
      <w:r w:rsidR="007B5B67">
        <w:rPr>
          <w:lang w:val="en-US"/>
        </w:rPr>
        <w:t>[1]</w:t>
      </w:r>
      <w:r w:rsidR="0082321A" w:rsidRPr="0082321A">
        <w:rPr>
          <w:lang w:val="en-US"/>
        </w:rPr>
        <w:fldChar w:fldCharType="end"/>
      </w:r>
      <w:r w:rsidR="0082321A" w:rsidRPr="0082321A">
        <w:rPr>
          <w:lang w:val="en-US"/>
        </w:rPr>
        <w:t>.</w:t>
      </w:r>
    </w:p>
    <w:p w14:paraId="2861ABDD" w14:textId="0A29E79A" w:rsidR="007F0D92" w:rsidRDefault="00BD00E0" w:rsidP="0082321A">
      <w:pPr>
        <w:pStyle w:val="BodyText"/>
        <w:rPr>
          <w:lang w:val="en-US"/>
        </w:rPr>
      </w:pPr>
      <w:r>
        <w:rPr>
          <w:lang w:val="en-US"/>
        </w:rPr>
        <w:t xml:space="preserve">The work item is based on the outcome of the feasibility study </w:t>
      </w:r>
      <w:r>
        <w:rPr>
          <w:lang w:val="en-US"/>
        </w:rPr>
        <w:fldChar w:fldCharType="begin"/>
      </w:r>
      <w:r>
        <w:rPr>
          <w:lang w:val="en-US"/>
        </w:rPr>
        <w:instrText xml:space="preserve"> REF _Ref431816394 \r \h </w:instrText>
      </w:r>
      <w:r>
        <w:rPr>
          <w:lang w:val="en-US"/>
        </w:rPr>
      </w:r>
      <w:r>
        <w:rPr>
          <w:lang w:val="en-US"/>
        </w:rPr>
        <w:fldChar w:fldCharType="separate"/>
      </w:r>
      <w:r w:rsidR="007B5B67">
        <w:rPr>
          <w:lang w:val="en-US"/>
        </w:rPr>
        <w:t>[2]</w:t>
      </w:r>
      <w:r>
        <w:rPr>
          <w:lang w:val="en-US"/>
        </w:rPr>
        <w:fldChar w:fldCharType="end"/>
      </w:r>
      <w:r w:rsidR="001F2A99">
        <w:rPr>
          <w:lang w:val="en-US"/>
        </w:rPr>
        <w:t>.</w:t>
      </w:r>
    </w:p>
    <w:p w14:paraId="70FE5C4E" w14:textId="1DEBB6F6" w:rsidR="00ED710E" w:rsidRDefault="00ED710E" w:rsidP="0082321A">
      <w:pPr>
        <w:pStyle w:val="BodyText"/>
        <w:rPr>
          <w:lang w:val="en-US"/>
        </w:rPr>
      </w:pPr>
      <w:r>
        <w:rPr>
          <w:lang w:val="en-US"/>
        </w:rPr>
        <w:t xml:space="preserve">The feature name when implementing the EC-GSM candidate </w:t>
      </w:r>
      <w:r w:rsidR="00DE096C">
        <w:rPr>
          <w:lang w:val="en-US"/>
        </w:rPr>
        <w:t xml:space="preserve">solution </w:t>
      </w:r>
      <w:r>
        <w:rPr>
          <w:lang w:val="en-US"/>
        </w:rPr>
        <w:t xml:space="preserve">in the 3GPP GERAN specifications is proposed to be </w:t>
      </w:r>
      <w:r w:rsidRPr="008228C8">
        <w:rPr>
          <w:i/>
          <w:lang w:val="en-US"/>
        </w:rPr>
        <w:t>EC-EGPRS</w:t>
      </w:r>
      <w:r>
        <w:rPr>
          <w:lang w:val="en-US"/>
        </w:rPr>
        <w:t xml:space="preserve"> considering the use of EGPRS as baseline, with one of the main additions to the specifications will be new logical channels supporting extended coverage (EC-channels).</w:t>
      </w:r>
    </w:p>
    <w:p w14:paraId="09BDB9BD" w14:textId="6200FCCE" w:rsidR="00C36704" w:rsidRDefault="007F0D92" w:rsidP="0082321A">
      <w:pPr>
        <w:pStyle w:val="BodyText"/>
        <w:rPr>
          <w:lang w:val="en-US"/>
        </w:rPr>
      </w:pPr>
      <w:r>
        <w:rPr>
          <w:lang w:val="en-US"/>
        </w:rPr>
        <w:t xml:space="preserve">The intention of this </w:t>
      </w:r>
      <w:r w:rsidR="009E6285">
        <w:rPr>
          <w:lang w:val="en-US"/>
        </w:rPr>
        <w:t>contribution</w:t>
      </w:r>
      <w:r>
        <w:rPr>
          <w:lang w:val="en-US"/>
        </w:rPr>
        <w:t xml:space="preserve"> is to </w:t>
      </w:r>
      <w:r w:rsidR="008228C8">
        <w:rPr>
          <w:lang w:val="en-US"/>
        </w:rPr>
        <w:t>collect and describe EC-EGPRS terminology used when drafting CRs to the work item</w:t>
      </w:r>
      <w:r w:rsidR="001B4BB0">
        <w:rPr>
          <w:lang w:val="en-US"/>
        </w:rPr>
        <w:t>.</w:t>
      </w:r>
    </w:p>
    <w:p w14:paraId="02433D55" w14:textId="501F38AD" w:rsidR="007C17F3" w:rsidRDefault="008228C8" w:rsidP="00F9219A">
      <w:pPr>
        <w:pStyle w:val="Heading1"/>
        <w:rPr>
          <w:lang w:val="en-US" w:eastAsia="zh-CN"/>
        </w:rPr>
      </w:pPr>
      <w:r>
        <w:rPr>
          <w:lang w:val="en-US" w:eastAsia="zh-CN"/>
        </w:rPr>
        <w:t>EC-EGPRS terminology</w:t>
      </w:r>
    </w:p>
    <w:p w14:paraId="63DE5EB4" w14:textId="58E3A84E" w:rsidR="00810E2F" w:rsidRDefault="00810E2F" w:rsidP="00810E2F">
      <w:pPr>
        <w:rPr>
          <w:lang w:val="en-US" w:eastAsia="zh-CN"/>
        </w:rPr>
      </w:pPr>
      <w:r>
        <w:rPr>
          <w:lang w:val="en-US" w:eastAsia="zh-CN"/>
        </w:rPr>
        <w:t xml:space="preserve">Some of the terms in the table below are included in the technical specification in the “Definition” </w:t>
      </w:r>
      <w:proofErr w:type="gramStart"/>
      <w:r>
        <w:rPr>
          <w:lang w:val="en-US" w:eastAsia="zh-CN"/>
        </w:rPr>
        <w:t>section,</w:t>
      </w:r>
      <w:proofErr w:type="gramEnd"/>
      <w:r>
        <w:rPr>
          <w:lang w:val="en-US" w:eastAsia="zh-CN"/>
        </w:rPr>
        <w:t xml:space="preserve"> some terms are used in one or more specifications without being defined in the “Definition” section.</w:t>
      </w:r>
    </w:p>
    <w:p w14:paraId="085E04C7" w14:textId="3AF27430" w:rsidR="00962A9D" w:rsidRPr="00810E2F" w:rsidRDefault="00962A9D" w:rsidP="00810E2F">
      <w:pPr>
        <w:rPr>
          <w:lang w:val="en-US" w:eastAsia="zh-CN"/>
        </w:rPr>
      </w:pPr>
      <w:r>
        <w:rPr>
          <w:lang w:val="en-US" w:eastAsia="zh-CN"/>
        </w:rPr>
        <w:t>The list is not intended to be exhaustive</w:t>
      </w:r>
      <w:r w:rsidR="00A81FC8">
        <w:rPr>
          <w:lang w:val="en-US" w:eastAsia="zh-CN"/>
        </w:rPr>
        <w:t xml:space="preserve"> of terminology used,</w:t>
      </w:r>
      <w:r>
        <w:rPr>
          <w:lang w:val="en-US" w:eastAsia="zh-CN"/>
        </w:rPr>
        <w:t xml:space="preserve"> and can be seen as a document </w:t>
      </w:r>
      <w:r w:rsidR="00A81FC8">
        <w:rPr>
          <w:lang w:val="en-US" w:eastAsia="zh-CN"/>
        </w:rPr>
        <w:t>to</w:t>
      </w:r>
      <w:r>
        <w:rPr>
          <w:lang w:val="en-US" w:eastAsia="zh-CN"/>
        </w:rPr>
        <w:t xml:space="preserve"> be updated with useful terminology for the EC-EGPRS specification work.</w:t>
      </w:r>
      <w:bookmarkStart w:id="0" w:name="_GoBack"/>
      <w:bookmarkEnd w:id="0"/>
    </w:p>
    <w:tbl>
      <w:tblPr>
        <w:tblStyle w:val="TableGrid"/>
        <w:tblW w:w="0" w:type="auto"/>
        <w:tblLook w:val="04A0" w:firstRow="1" w:lastRow="0" w:firstColumn="1" w:lastColumn="0" w:noHBand="0" w:noVBand="1"/>
      </w:tblPr>
      <w:tblGrid>
        <w:gridCol w:w="3227"/>
        <w:gridCol w:w="5257"/>
      </w:tblGrid>
      <w:tr w:rsidR="001F2A99" w14:paraId="477C6541" w14:textId="77777777" w:rsidTr="006C58B5">
        <w:tc>
          <w:tcPr>
            <w:tcW w:w="3227" w:type="dxa"/>
            <w:shd w:val="clear" w:color="auto" w:fill="DBE5F1" w:themeFill="accent1" w:themeFillTint="33"/>
          </w:tcPr>
          <w:p w14:paraId="6FB72ACF" w14:textId="5BD0FE48" w:rsidR="001F2A99" w:rsidRPr="00DF7809" w:rsidRDefault="001F2A99" w:rsidP="004007E7">
            <w:pPr>
              <w:rPr>
                <w:rFonts w:ascii="Arial" w:hAnsi="Arial" w:cs="Arial"/>
                <w:sz w:val="18"/>
                <w:lang w:eastAsia="zh-CN"/>
              </w:rPr>
            </w:pPr>
            <w:r w:rsidRPr="00DF7809">
              <w:rPr>
                <w:rFonts w:ascii="Arial" w:hAnsi="Arial" w:cs="Arial"/>
                <w:sz w:val="18"/>
                <w:lang w:eastAsia="zh-CN"/>
              </w:rPr>
              <w:t>Term</w:t>
            </w:r>
          </w:p>
        </w:tc>
        <w:tc>
          <w:tcPr>
            <w:tcW w:w="5257" w:type="dxa"/>
            <w:shd w:val="clear" w:color="auto" w:fill="DBE5F1" w:themeFill="accent1" w:themeFillTint="33"/>
          </w:tcPr>
          <w:p w14:paraId="60F238DD" w14:textId="7BB7F767" w:rsidR="001F2A99" w:rsidRPr="00DF7809" w:rsidRDefault="001F2A99" w:rsidP="004007E7">
            <w:pPr>
              <w:rPr>
                <w:rFonts w:ascii="Arial" w:hAnsi="Arial" w:cs="Arial"/>
                <w:sz w:val="18"/>
                <w:lang w:eastAsia="zh-CN"/>
              </w:rPr>
            </w:pPr>
            <w:r w:rsidRPr="00DF7809">
              <w:rPr>
                <w:rFonts w:ascii="Arial" w:hAnsi="Arial" w:cs="Arial"/>
                <w:sz w:val="18"/>
                <w:lang w:eastAsia="zh-CN"/>
              </w:rPr>
              <w:t>Description</w:t>
            </w:r>
          </w:p>
        </w:tc>
      </w:tr>
      <w:tr w:rsidR="00D025CC" w:rsidRPr="00A234CF" w14:paraId="64FF4DEC" w14:textId="77777777" w:rsidTr="006C58B5">
        <w:tc>
          <w:tcPr>
            <w:tcW w:w="3227" w:type="dxa"/>
          </w:tcPr>
          <w:p w14:paraId="15D41E6D" w14:textId="305EA3CB" w:rsidR="00D025CC" w:rsidRDefault="00D025CC" w:rsidP="004007E7">
            <w:pPr>
              <w:rPr>
                <w:rFonts w:ascii="Arial" w:hAnsi="Arial" w:cs="Arial"/>
                <w:sz w:val="18"/>
                <w:lang w:eastAsia="zh-CN"/>
              </w:rPr>
            </w:pPr>
            <w:r>
              <w:rPr>
                <w:rFonts w:ascii="Arial" w:hAnsi="Arial" w:cs="Arial"/>
                <w:sz w:val="18"/>
                <w:lang w:val="en-GB" w:eastAsia="zh-CN"/>
              </w:rPr>
              <w:t>B</w:t>
            </w:r>
            <w:r w:rsidRPr="00DF7809">
              <w:rPr>
                <w:rFonts w:ascii="Arial" w:hAnsi="Arial" w:cs="Arial"/>
                <w:sz w:val="18"/>
                <w:lang w:val="en-GB" w:eastAsia="zh-CN"/>
              </w:rPr>
              <w:t>lind physical layer repetitions</w:t>
            </w:r>
          </w:p>
        </w:tc>
        <w:tc>
          <w:tcPr>
            <w:tcW w:w="5257" w:type="dxa"/>
          </w:tcPr>
          <w:p w14:paraId="059FF825" w14:textId="39BE62A9" w:rsidR="00D025CC" w:rsidRPr="00E47266" w:rsidRDefault="00D025CC" w:rsidP="004007E7">
            <w:pPr>
              <w:rPr>
                <w:rFonts w:ascii="Arial" w:hAnsi="Arial" w:cs="Arial"/>
                <w:sz w:val="18"/>
                <w:lang w:eastAsia="zh-CN"/>
              </w:rPr>
            </w:pPr>
            <w:proofErr w:type="gramStart"/>
            <w:r w:rsidRPr="00DF7809">
              <w:rPr>
                <w:rFonts w:ascii="Arial" w:hAnsi="Arial" w:cs="Arial"/>
                <w:sz w:val="18"/>
                <w:lang w:eastAsia="zh-CN"/>
              </w:rPr>
              <w:t>when</w:t>
            </w:r>
            <w:proofErr w:type="gramEnd"/>
            <w:r w:rsidRPr="00DF7809">
              <w:rPr>
                <w:rFonts w:ascii="Arial" w:hAnsi="Arial" w:cs="Arial"/>
                <w:sz w:val="18"/>
                <w:lang w:eastAsia="zh-CN"/>
              </w:rPr>
              <w:t xml:space="preserve"> referring to using blind repetitions. It is considered to be on the physical layer since there is a difference in how the burs</w:t>
            </w:r>
            <w:r>
              <w:rPr>
                <w:rFonts w:ascii="Arial" w:hAnsi="Arial" w:cs="Arial"/>
                <w:sz w:val="18"/>
                <w:lang w:eastAsia="zh-CN"/>
              </w:rPr>
              <w:t>t</w:t>
            </w:r>
            <w:r w:rsidRPr="00DF7809">
              <w:rPr>
                <w:rFonts w:ascii="Arial" w:hAnsi="Arial" w:cs="Arial"/>
                <w:sz w:val="18"/>
                <w:lang w:eastAsia="zh-CN"/>
              </w:rPr>
              <w:t xml:space="preserve"> are mapped to the physical resources</w:t>
            </w:r>
            <w:r>
              <w:rPr>
                <w:rFonts w:ascii="Arial" w:hAnsi="Arial" w:cs="Arial"/>
                <w:sz w:val="18"/>
                <w:lang w:eastAsia="zh-CN"/>
              </w:rPr>
              <w:t xml:space="preserve"> for the UL channels, and the use of the repetitions is easily described in 45.003 (physical layer specification).</w:t>
            </w:r>
          </w:p>
        </w:tc>
      </w:tr>
      <w:tr w:rsidR="00D025CC" w:rsidRPr="00A234CF" w14:paraId="07764275" w14:textId="77777777" w:rsidTr="006C58B5">
        <w:tc>
          <w:tcPr>
            <w:tcW w:w="3227" w:type="dxa"/>
          </w:tcPr>
          <w:p w14:paraId="075AB33F" w14:textId="7154F829" w:rsidR="00D025CC" w:rsidRDefault="00D025CC" w:rsidP="004007E7">
            <w:pPr>
              <w:rPr>
                <w:rFonts w:ascii="Arial" w:hAnsi="Arial" w:cs="Arial"/>
                <w:sz w:val="18"/>
                <w:lang w:val="en-GB" w:eastAsia="zh-CN"/>
              </w:rPr>
            </w:pPr>
            <w:r w:rsidRPr="006B4C0C">
              <w:rPr>
                <w:rFonts w:ascii="Arial" w:hAnsi="Arial" w:cs="Arial"/>
                <w:iCs/>
                <w:sz w:val="18"/>
                <w:lang w:val="sv-SE" w:eastAsia="zh-CN"/>
              </w:rPr>
              <w:t xml:space="preserve">Coverage </w:t>
            </w:r>
            <w:r>
              <w:rPr>
                <w:rFonts w:ascii="Arial" w:hAnsi="Arial" w:cs="Arial"/>
                <w:iCs/>
                <w:sz w:val="18"/>
                <w:lang w:val="sv-SE" w:eastAsia="zh-CN"/>
              </w:rPr>
              <w:t>C</w:t>
            </w:r>
            <w:r w:rsidRPr="006B4C0C">
              <w:rPr>
                <w:rFonts w:ascii="Arial" w:hAnsi="Arial" w:cs="Arial"/>
                <w:iCs/>
                <w:sz w:val="18"/>
                <w:lang w:val="sv-SE" w:eastAsia="zh-CN"/>
              </w:rPr>
              <w:t>lass</w:t>
            </w:r>
          </w:p>
        </w:tc>
        <w:tc>
          <w:tcPr>
            <w:tcW w:w="5257" w:type="dxa"/>
          </w:tcPr>
          <w:p w14:paraId="3D9B3CBF" w14:textId="63C12531" w:rsidR="00D025CC" w:rsidRPr="00DF7809" w:rsidRDefault="00D025CC" w:rsidP="004007E7">
            <w:pPr>
              <w:rPr>
                <w:rFonts w:ascii="Arial" w:hAnsi="Arial" w:cs="Arial"/>
                <w:sz w:val="18"/>
                <w:lang w:eastAsia="zh-CN"/>
              </w:rPr>
            </w:pPr>
            <w:r w:rsidRPr="007515F0">
              <w:rPr>
                <w:rFonts w:ascii="Arial" w:hAnsi="Arial" w:cs="Arial"/>
                <w:sz w:val="18"/>
                <w:lang w:eastAsia="zh-CN"/>
              </w:rPr>
              <w:t xml:space="preserve">Indicates whether or not a MS is in extended coverage. For each coverage class a fixed predefined number of blind physical layer repetitions </w:t>
            </w:r>
            <w:proofErr w:type="gramStart"/>
            <w:r w:rsidRPr="007515F0">
              <w:rPr>
                <w:rFonts w:ascii="Arial" w:hAnsi="Arial" w:cs="Arial"/>
                <w:sz w:val="18"/>
                <w:lang w:eastAsia="zh-CN"/>
              </w:rPr>
              <w:t>is</w:t>
            </w:r>
            <w:proofErr w:type="gramEnd"/>
            <w:r w:rsidRPr="007515F0">
              <w:rPr>
                <w:rFonts w:ascii="Arial" w:hAnsi="Arial" w:cs="Arial"/>
                <w:sz w:val="18"/>
                <w:lang w:eastAsia="zh-CN"/>
              </w:rPr>
              <w:t xml:space="preserve"> applied per logical channel. This number of blind physical layer repetitions may differ between logical channels for the same coverage class.</w:t>
            </w:r>
          </w:p>
        </w:tc>
      </w:tr>
      <w:tr w:rsidR="00D025CC" w:rsidRPr="00A234CF" w14:paraId="0DB8EE80" w14:textId="77777777" w:rsidTr="006C58B5">
        <w:tc>
          <w:tcPr>
            <w:tcW w:w="3227" w:type="dxa"/>
          </w:tcPr>
          <w:p w14:paraId="61B26B14" w14:textId="08D47B3A" w:rsidR="00D025CC" w:rsidRDefault="00D025CC" w:rsidP="004007E7">
            <w:pPr>
              <w:rPr>
                <w:rFonts w:ascii="Arial" w:hAnsi="Arial" w:cs="Arial"/>
                <w:sz w:val="18"/>
                <w:lang w:val="en-GB" w:eastAsia="zh-CN"/>
              </w:rPr>
            </w:pPr>
            <w:r>
              <w:rPr>
                <w:rFonts w:ascii="Arial" w:hAnsi="Arial" w:cs="Arial"/>
                <w:sz w:val="18"/>
                <w:lang w:val="en-GB" w:eastAsia="zh-CN"/>
              </w:rPr>
              <w:t>EC-</w:t>
            </w:r>
            <w:r w:rsidRPr="004D17AA">
              <w:rPr>
                <w:rFonts w:ascii="Arial" w:hAnsi="Arial" w:cs="Arial"/>
                <w:sz w:val="18"/>
                <w:lang w:val="en-GB" w:eastAsia="zh-CN"/>
              </w:rPr>
              <w:t>EGPRS operation</w:t>
            </w:r>
          </w:p>
        </w:tc>
        <w:tc>
          <w:tcPr>
            <w:tcW w:w="5257" w:type="dxa"/>
          </w:tcPr>
          <w:p w14:paraId="14C2BC27" w14:textId="5A881678" w:rsidR="00D025CC" w:rsidRPr="00DF7809" w:rsidRDefault="00D025CC" w:rsidP="004007E7">
            <w:pPr>
              <w:rPr>
                <w:rFonts w:ascii="Arial" w:hAnsi="Arial" w:cs="Arial"/>
                <w:sz w:val="18"/>
                <w:lang w:eastAsia="zh-CN"/>
              </w:rPr>
            </w:pPr>
            <w:r w:rsidRPr="004D17AA">
              <w:rPr>
                <w:rFonts w:ascii="Arial" w:hAnsi="Arial" w:cs="Arial"/>
                <w:sz w:val="18"/>
                <w:lang w:val="en-GB" w:eastAsia="zh-CN"/>
              </w:rPr>
              <w:t xml:space="preserve">An </w:t>
            </w:r>
            <w:r>
              <w:rPr>
                <w:rFonts w:ascii="Arial" w:hAnsi="Arial" w:cs="Arial"/>
                <w:sz w:val="18"/>
                <w:lang w:val="en-GB" w:eastAsia="zh-CN"/>
              </w:rPr>
              <w:t>EC-</w:t>
            </w:r>
            <w:r w:rsidRPr="004D17AA">
              <w:rPr>
                <w:rFonts w:ascii="Arial" w:hAnsi="Arial" w:cs="Arial"/>
                <w:sz w:val="18"/>
                <w:lang w:val="en-GB" w:eastAsia="zh-CN"/>
              </w:rPr>
              <w:t xml:space="preserve">EGPRS capable MS in a cell supports </w:t>
            </w:r>
            <w:r>
              <w:rPr>
                <w:rFonts w:ascii="Arial" w:hAnsi="Arial" w:cs="Arial"/>
                <w:sz w:val="18"/>
                <w:lang w:val="en-GB" w:eastAsia="zh-CN"/>
              </w:rPr>
              <w:t>EC-</w:t>
            </w:r>
            <w:r w:rsidRPr="004D17AA">
              <w:rPr>
                <w:rFonts w:ascii="Arial" w:hAnsi="Arial" w:cs="Arial"/>
                <w:sz w:val="18"/>
                <w:lang w:val="en-GB" w:eastAsia="zh-CN"/>
              </w:rPr>
              <w:t xml:space="preserve">EGPRS, that has negotiated the use of eDRX and/or PSM is said to have enabled </w:t>
            </w:r>
            <w:r>
              <w:rPr>
                <w:rFonts w:ascii="Arial" w:hAnsi="Arial" w:cs="Arial"/>
                <w:sz w:val="18"/>
                <w:lang w:val="en-GB" w:eastAsia="zh-CN"/>
              </w:rPr>
              <w:t>EC-</w:t>
            </w:r>
            <w:r w:rsidRPr="004D17AA">
              <w:rPr>
                <w:rFonts w:ascii="Arial" w:hAnsi="Arial" w:cs="Arial"/>
                <w:sz w:val="18"/>
                <w:lang w:val="en-GB" w:eastAsia="zh-CN"/>
              </w:rPr>
              <w:t>EGPRS operation</w:t>
            </w:r>
          </w:p>
        </w:tc>
      </w:tr>
      <w:tr w:rsidR="00D025CC" w:rsidRPr="00A234CF" w14:paraId="744E2F41" w14:textId="77777777" w:rsidTr="006C58B5">
        <w:tc>
          <w:tcPr>
            <w:tcW w:w="3227" w:type="dxa"/>
          </w:tcPr>
          <w:p w14:paraId="33F9DD6D" w14:textId="479E88FC" w:rsidR="00D025CC" w:rsidRDefault="00D025CC" w:rsidP="004007E7">
            <w:pPr>
              <w:rPr>
                <w:rFonts w:ascii="Arial" w:hAnsi="Arial" w:cs="Arial"/>
                <w:sz w:val="18"/>
                <w:lang w:val="en-GB" w:eastAsia="zh-CN"/>
              </w:rPr>
            </w:pPr>
            <w:r>
              <w:rPr>
                <w:rFonts w:ascii="Arial" w:hAnsi="Arial" w:cs="Arial"/>
                <w:sz w:val="18"/>
                <w:lang w:val="sv-SE" w:eastAsia="zh-CN"/>
              </w:rPr>
              <w:t>Extended coverage</w:t>
            </w:r>
          </w:p>
        </w:tc>
        <w:tc>
          <w:tcPr>
            <w:tcW w:w="5257" w:type="dxa"/>
          </w:tcPr>
          <w:p w14:paraId="13B07A3D" w14:textId="27F9FC52" w:rsidR="00D025CC" w:rsidRPr="00DF7809" w:rsidRDefault="00D025CC" w:rsidP="004007E7">
            <w:pPr>
              <w:rPr>
                <w:rFonts w:ascii="Arial" w:hAnsi="Arial" w:cs="Arial"/>
                <w:sz w:val="18"/>
                <w:lang w:eastAsia="zh-CN"/>
              </w:rPr>
            </w:pPr>
            <w:r w:rsidRPr="004D17AA">
              <w:rPr>
                <w:rFonts w:ascii="Arial" w:hAnsi="Arial" w:cs="Arial"/>
                <w:sz w:val="18"/>
                <w:lang w:eastAsia="zh-CN"/>
              </w:rPr>
              <w:t>Coverage exceeding the specified sensitivity and interference performance for GPRS/EGPRS (e.g. -104 dBm for the base station).</w:t>
            </w:r>
          </w:p>
        </w:tc>
      </w:tr>
      <w:tr w:rsidR="00D025CC" w:rsidRPr="00A234CF" w14:paraId="5D8C86ED" w14:textId="77777777" w:rsidTr="006C58B5">
        <w:tc>
          <w:tcPr>
            <w:tcW w:w="3227" w:type="dxa"/>
          </w:tcPr>
          <w:p w14:paraId="623BD6E1" w14:textId="06C65603" w:rsidR="00D025CC" w:rsidRPr="00DF7809" w:rsidRDefault="00D025CC" w:rsidP="004007E7">
            <w:pPr>
              <w:rPr>
                <w:rFonts w:ascii="Arial" w:hAnsi="Arial" w:cs="Arial"/>
                <w:sz w:val="18"/>
                <w:lang w:eastAsia="zh-CN"/>
              </w:rPr>
            </w:pPr>
            <w:r>
              <w:rPr>
                <w:rFonts w:ascii="Arial" w:hAnsi="Arial" w:cs="Arial"/>
                <w:sz w:val="18"/>
                <w:lang w:eastAsia="zh-CN"/>
              </w:rPr>
              <w:t>Extended Transmission Time Interval</w:t>
            </w:r>
          </w:p>
        </w:tc>
        <w:tc>
          <w:tcPr>
            <w:tcW w:w="5257" w:type="dxa"/>
          </w:tcPr>
          <w:p w14:paraId="2CAF563F" w14:textId="2C95B826" w:rsidR="00D025CC" w:rsidRPr="00DF7809" w:rsidRDefault="00D025CC" w:rsidP="004007E7">
            <w:pPr>
              <w:rPr>
                <w:rFonts w:ascii="Arial" w:hAnsi="Arial" w:cs="Arial"/>
                <w:sz w:val="18"/>
                <w:lang w:eastAsia="zh-CN"/>
              </w:rPr>
            </w:pPr>
            <w:r w:rsidRPr="00E47266">
              <w:rPr>
                <w:rFonts w:ascii="Arial" w:hAnsi="Arial" w:cs="Arial"/>
                <w:sz w:val="18"/>
                <w:lang w:eastAsia="zh-CN"/>
              </w:rPr>
              <w:t>Transmission time interval used in EC-EGPRS operation on the uplink when using blind physical layer repetitions that exceeds a basic transmission time interval, i.e. for Coverage Class 3 (CC3) or Coverage Class 4 (CC4).</w:t>
            </w:r>
          </w:p>
        </w:tc>
      </w:tr>
      <w:tr w:rsidR="00D025CC" w:rsidRPr="00A234CF" w14:paraId="00CA1446" w14:textId="77777777" w:rsidTr="006C58B5">
        <w:tc>
          <w:tcPr>
            <w:tcW w:w="3227" w:type="dxa"/>
          </w:tcPr>
          <w:p w14:paraId="0403187F" w14:textId="6DC7D34A" w:rsidR="00D025CC" w:rsidRDefault="00D025CC" w:rsidP="004007E7">
            <w:pPr>
              <w:rPr>
                <w:rFonts w:ascii="Arial" w:hAnsi="Arial" w:cs="Arial"/>
                <w:sz w:val="18"/>
                <w:lang w:eastAsia="zh-CN"/>
              </w:rPr>
            </w:pPr>
            <w:r w:rsidRPr="004D17AA">
              <w:rPr>
                <w:rFonts w:ascii="Arial" w:hAnsi="Arial" w:cs="Arial"/>
                <w:sz w:val="18"/>
                <w:lang w:val="sv-SE" w:eastAsia="zh-CN"/>
              </w:rPr>
              <w:t>Fixed Uplink Allocation</w:t>
            </w:r>
          </w:p>
        </w:tc>
        <w:tc>
          <w:tcPr>
            <w:tcW w:w="5257" w:type="dxa"/>
          </w:tcPr>
          <w:p w14:paraId="05CF67B4" w14:textId="2601A489" w:rsidR="00D025CC" w:rsidRPr="00E47266" w:rsidRDefault="00D025CC" w:rsidP="004007E7">
            <w:pPr>
              <w:rPr>
                <w:rFonts w:ascii="Arial" w:hAnsi="Arial" w:cs="Arial"/>
                <w:sz w:val="18"/>
                <w:lang w:eastAsia="zh-CN"/>
              </w:rPr>
            </w:pPr>
            <w:r w:rsidRPr="004D17AA">
              <w:rPr>
                <w:rFonts w:ascii="Arial" w:hAnsi="Arial" w:cs="Arial"/>
                <w:sz w:val="18"/>
                <w:lang w:val="en-GB" w:eastAsia="zh-CN"/>
              </w:rPr>
              <w:t xml:space="preserve">Static allocation (and assignment) of limited resources in the uplink over one or more TTIs, using one or more PDCH, that does not make use of USF based allocation. Only type of allocation/assignment of resources supported for </w:t>
            </w:r>
            <w:r>
              <w:rPr>
                <w:rFonts w:ascii="Arial" w:hAnsi="Arial" w:cs="Arial"/>
                <w:sz w:val="18"/>
                <w:lang w:val="en-GB" w:eastAsia="zh-CN"/>
              </w:rPr>
              <w:t>EC-EGPRS</w:t>
            </w:r>
          </w:p>
        </w:tc>
      </w:tr>
      <w:tr w:rsidR="00D025CC" w:rsidRPr="00A234CF" w14:paraId="0EE3B272" w14:textId="77777777" w:rsidTr="006C58B5">
        <w:tc>
          <w:tcPr>
            <w:tcW w:w="3227" w:type="dxa"/>
          </w:tcPr>
          <w:p w14:paraId="73211C58" w14:textId="26DFE511" w:rsidR="00D025CC" w:rsidRPr="00DF7809" w:rsidRDefault="00D025CC" w:rsidP="004007E7">
            <w:pPr>
              <w:rPr>
                <w:rFonts w:ascii="Arial" w:hAnsi="Arial" w:cs="Arial"/>
                <w:sz w:val="18"/>
                <w:lang w:eastAsia="zh-CN"/>
              </w:rPr>
            </w:pPr>
            <w:r>
              <w:rPr>
                <w:rFonts w:ascii="Arial" w:hAnsi="Arial" w:cs="Arial"/>
                <w:sz w:val="18"/>
                <w:lang w:val="sv-SE" w:eastAsia="zh-CN"/>
              </w:rPr>
              <w:t>I</w:t>
            </w:r>
            <w:r w:rsidRPr="00DF7809">
              <w:rPr>
                <w:rFonts w:ascii="Arial" w:hAnsi="Arial" w:cs="Arial"/>
                <w:sz w:val="18"/>
                <w:lang w:val="sv-SE" w:eastAsia="zh-CN"/>
              </w:rPr>
              <w:t>mproved security framework</w:t>
            </w:r>
          </w:p>
        </w:tc>
        <w:tc>
          <w:tcPr>
            <w:tcW w:w="5257" w:type="dxa"/>
          </w:tcPr>
          <w:p w14:paraId="1ADBD1E9" w14:textId="04C5C14D" w:rsidR="00D025CC" w:rsidRPr="00DF7809" w:rsidRDefault="00D025CC" w:rsidP="00DF7809">
            <w:pPr>
              <w:rPr>
                <w:rFonts w:ascii="Arial" w:hAnsi="Arial" w:cs="Arial"/>
                <w:sz w:val="18"/>
                <w:lang w:eastAsia="zh-CN"/>
              </w:rPr>
            </w:pPr>
            <w:r w:rsidRPr="00DF7809">
              <w:rPr>
                <w:rFonts w:ascii="Arial" w:hAnsi="Arial" w:cs="Arial"/>
                <w:sz w:val="18"/>
                <w:lang w:eastAsia="zh-CN"/>
              </w:rPr>
              <w:t xml:space="preserve">Referring to the improved security framework for EC-EGPRS for the ongoing work item </w:t>
            </w:r>
          </w:p>
          <w:p w14:paraId="58494B89" w14:textId="77777777" w:rsidR="00D025CC" w:rsidRPr="00DF7809" w:rsidRDefault="00D025CC" w:rsidP="004007E7">
            <w:pPr>
              <w:rPr>
                <w:rFonts w:ascii="Arial" w:hAnsi="Arial" w:cs="Arial"/>
                <w:sz w:val="18"/>
                <w:lang w:eastAsia="zh-CN"/>
              </w:rPr>
            </w:pPr>
          </w:p>
        </w:tc>
      </w:tr>
      <w:tr w:rsidR="00D025CC" w:rsidRPr="00A234CF" w14:paraId="0509348D" w14:textId="77777777" w:rsidTr="006C58B5">
        <w:tc>
          <w:tcPr>
            <w:tcW w:w="3227" w:type="dxa"/>
          </w:tcPr>
          <w:p w14:paraId="1E7B1D7A" w14:textId="54269775" w:rsidR="00D025CC" w:rsidRPr="006B4C0C" w:rsidRDefault="00D025CC" w:rsidP="004D17AA">
            <w:pPr>
              <w:rPr>
                <w:rFonts w:ascii="Arial" w:hAnsi="Arial" w:cs="Arial"/>
                <w:sz w:val="18"/>
                <w:lang w:val="en-GB" w:eastAsia="zh-CN"/>
              </w:rPr>
            </w:pPr>
            <w:r>
              <w:rPr>
                <w:rFonts w:ascii="Arial" w:hAnsi="Arial" w:cs="Arial"/>
                <w:iCs/>
                <w:sz w:val="18"/>
                <w:lang w:val="en-GB" w:eastAsia="zh-CN"/>
              </w:rPr>
              <w:t>S</w:t>
            </w:r>
            <w:r w:rsidRPr="006B4C0C">
              <w:rPr>
                <w:rFonts w:ascii="Arial" w:hAnsi="Arial" w:cs="Arial"/>
                <w:iCs/>
                <w:sz w:val="18"/>
                <w:lang w:val="en-GB" w:eastAsia="zh-CN"/>
              </w:rPr>
              <w:t>upporting operation</w:t>
            </w:r>
            <w:r w:rsidRPr="006B4C0C">
              <w:rPr>
                <w:rFonts w:ascii="Arial" w:hAnsi="Arial" w:cs="Arial"/>
                <w:sz w:val="18"/>
                <w:lang w:val="en-GB" w:eastAsia="zh-CN"/>
              </w:rPr>
              <w:t xml:space="preserve"> in extended </w:t>
            </w:r>
            <w:r w:rsidRPr="006B4C0C">
              <w:rPr>
                <w:rFonts w:ascii="Arial" w:hAnsi="Arial" w:cs="Arial"/>
                <w:sz w:val="18"/>
                <w:lang w:val="en-GB" w:eastAsia="zh-CN"/>
              </w:rPr>
              <w:lastRenderedPageBreak/>
              <w:t>coverage</w:t>
            </w:r>
          </w:p>
        </w:tc>
        <w:tc>
          <w:tcPr>
            <w:tcW w:w="5257" w:type="dxa"/>
          </w:tcPr>
          <w:p w14:paraId="742686AB" w14:textId="3EC94116" w:rsidR="00D025CC" w:rsidRPr="006B4C0C" w:rsidRDefault="00D025CC" w:rsidP="004D17AA">
            <w:pPr>
              <w:rPr>
                <w:rFonts w:ascii="Arial" w:hAnsi="Arial" w:cs="Arial"/>
                <w:sz w:val="18"/>
                <w:lang w:eastAsia="zh-CN"/>
              </w:rPr>
            </w:pPr>
            <w:r w:rsidRPr="006B4C0C">
              <w:rPr>
                <w:rFonts w:ascii="Arial" w:hAnsi="Arial" w:cs="Arial"/>
                <w:sz w:val="18"/>
                <w:lang w:eastAsia="zh-CN"/>
              </w:rPr>
              <w:lastRenderedPageBreak/>
              <w:t xml:space="preserve">Referring to EC-channels, i.e. that these channels can operate </w:t>
            </w:r>
            <w:r w:rsidRPr="006B4C0C">
              <w:rPr>
                <w:rFonts w:ascii="Arial" w:hAnsi="Arial" w:cs="Arial"/>
                <w:sz w:val="18"/>
                <w:lang w:eastAsia="zh-CN"/>
              </w:rPr>
              <w:lastRenderedPageBreak/>
              <w:t>both in normal coverage and extended coverage</w:t>
            </w:r>
          </w:p>
        </w:tc>
      </w:tr>
    </w:tbl>
    <w:p w14:paraId="6D5BDA44" w14:textId="77777777" w:rsidR="004007E7" w:rsidRPr="004007E7" w:rsidRDefault="004007E7" w:rsidP="004007E7">
      <w:pPr>
        <w:rPr>
          <w:lang w:val="en-US" w:eastAsia="zh-CN"/>
        </w:rPr>
      </w:pPr>
    </w:p>
    <w:p w14:paraId="294208EB" w14:textId="77777777" w:rsidR="0082321A" w:rsidRPr="0082321A" w:rsidRDefault="0082321A" w:rsidP="0082321A">
      <w:pPr>
        <w:pStyle w:val="Heading1"/>
        <w:rPr>
          <w:lang w:val="en-US"/>
        </w:rPr>
      </w:pPr>
      <w:r w:rsidRPr="0082321A">
        <w:rPr>
          <w:lang w:val="en-US"/>
        </w:rPr>
        <w:t>References</w:t>
      </w:r>
    </w:p>
    <w:bookmarkStart w:id="1" w:name="_Ref397674406"/>
    <w:bookmarkStart w:id="2" w:name="_Ref391121529"/>
    <w:p w14:paraId="0F8B35BD" w14:textId="5F5E4084" w:rsidR="00DA2BF4" w:rsidRDefault="007E3D54" w:rsidP="007E3D54">
      <w:pPr>
        <w:pStyle w:val="Reference"/>
        <w:numPr>
          <w:ilvl w:val="0"/>
          <w:numId w:val="3"/>
        </w:numPr>
        <w:rPr>
          <w:lang w:val="en-US"/>
        </w:rPr>
      </w:pPr>
      <w:r w:rsidRPr="007E3D54">
        <w:rPr>
          <w:lang w:val="en-US"/>
        </w:rPr>
        <w:fldChar w:fldCharType="begin"/>
      </w:r>
      <w:r w:rsidRPr="007E3D54">
        <w:rPr>
          <w:lang w:val="en-US"/>
        </w:rPr>
        <w:instrText xml:space="preserve"> HYPERLINK "ftp://www.3gpp.org/tsg_geran/TSG_GERAN/GERAN_67_Yinchuan/Docs/GP-151039.zip" </w:instrText>
      </w:r>
      <w:r w:rsidRPr="007E3D54">
        <w:rPr>
          <w:lang w:val="en-US"/>
        </w:rPr>
        <w:fldChar w:fldCharType="separate"/>
      </w:r>
      <w:r w:rsidRPr="007E3D54">
        <w:rPr>
          <w:rStyle w:val="Hyperlink"/>
          <w:lang w:val="en-US"/>
        </w:rPr>
        <w:t>GP-151039</w:t>
      </w:r>
      <w:r w:rsidRPr="007E3D54">
        <w:rPr>
          <w:lang w:val="en-US"/>
        </w:rPr>
        <w:fldChar w:fldCharType="end"/>
      </w:r>
      <w:r w:rsidR="0082321A" w:rsidRPr="007E3D54">
        <w:rPr>
          <w:lang w:val="en-US"/>
        </w:rPr>
        <w:t>, “</w:t>
      </w:r>
      <w:bookmarkEnd w:id="1"/>
      <w:bookmarkEnd w:id="2"/>
      <w:r w:rsidRPr="007E3D54">
        <w:rPr>
          <w:lang w:val="en-US"/>
        </w:rPr>
        <w:t xml:space="preserve">New Work Item on Extended Coverage GSM (EC-GSM) for support of Cellular Internet of Things”, source Ericsson LM, Intel, Gemalto N.V., </w:t>
      </w:r>
      <w:proofErr w:type="spellStart"/>
      <w:r w:rsidRPr="007E3D54">
        <w:rPr>
          <w:lang w:val="en-US"/>
        </w:rPr>
        <w:t>MediaTek</w:t>
      </w:r>
      <w:proofErr w:type="spellEnd"/>
      <w:r w:rsidRPr="007E3D54">
        <w:rPr>
          <w:lang w:val="en-US"/>
        </w:rPr>
        <w:t xml:space="preserve"> Inc., </w:t>
      </w:r>
      <w:proofErr w:type="spellStart"/>
      <w:r w:rsidRPr="007E3D54">
        <w:rPr>
          <w:lang w:val="en-US"/>
        </w:rPr>
        <w:t>TeliaSonera</w:t>
      </w:r>
      <w:proofErr w:type="spellEnd"/>
      <w:r w:rsidRPr="007E3D54">
        <w:rPr>
          <w:lang w:val="en-US"/>
        </w:rPr>
        <w:t xml:space="preserve"> AB, Sierra Wireless S.A., </w:t>
      </w:r>
      <w:proofErr w:type="spellStart"/>
      <w:r w:rsidRPr="007E3D54">
        <w:rPr>
          <w:lang w:val="en-US"/>
        </w:rPr>
        <w:t>Telit</w:t>
      </w:r>
      <w:proofErr w:type="spellEnd"/>
      <w:r w:rsidRPr="007E3D54">
        <w:rPr>
          <w:lang w:val="en-US"/>
        </w:rPr>
        <w:t xml:space="preserve"> Communications </w:t>
      </w:r>
      <w:proofErr w:type="spellStart"/>
      <w:r w:rsidRPr="007E3D54">
        <w:rPr>
          <w:lang w:val="en-US"/>
        </w:rPr>
        <w:t>S.p.A</w:t>
      </w:r>
      <w:proofErr w:type="spellEnd"/>
      <w:r w:rsidRPr="007E3D54">
        <w:rPr>
          <w:lang w:val="en-US"/>
        </w:rPr>
        <w:t>., ORANGE, Nokia Networks, Alcatel-Lucent</w:t>
      </w:r>
      <w:r>
        <w:rPr>
          <w:lang w:val="en-US"/>
        </w:rPr>
        <w:t>. GERAN#67.</w:t>
      </w:r>
    </w:p>
    <w:bookmarkStart w:id="3" w:name="_Ref431816394"/>
    <w:p w14:paraId="2F0385C8" w14:textId="35302299" w:rsidR="00BD00E0" w:rsidRDefault="00BD00E0" w:rsidP="007E3D54">
      <w:pPr>
        <w:pStyle w:val="Reference"/>
        <w:numPr>
          <w:ilvl w:val="0"/>
          <w:numId w:val="3"/>
        </w:numPr>
        <w:rPr>
          <w:lang w:val="en-US"/>
        </w:rPr>
      </w:pPr>
      <w:r w:rsidRPr="0082321A">
        <w:rPr>
          <w:lang w:val="en-US"/>
        </w:rPr>
        <w:fldChar w:fldCharType="begin"/>
      </w:r>
      <w:r w:rsidRPr="0082321A">
        <w:rPr>
          <w:lang w:val="en-US"/>
        </w:rPr>
        <w:instrText xml:space="preserve"> HYPERLINK "ftp://www.3gpp.org/tsg_geran/TSG_GERAN/GERAN_62_Valencia/Docs/GP-140421.zip" </w:instrText>
      </w:r>
      <w:r w:rsidRPr="0082321A">
        <w:rPr>
          <w:lang w:val="en-US"/>
        </w:rPr>
        <w:fldChar w:fldCharType="separate"/>
      </w:r>
      <w:r w:rsidRPr="0082321A">
        <w:rPr>
          <w:rStyle w:val="Hyperlink"/>
          <w:lang w:val="en-US"/>
        </w:rPr>
        <w:t>GP-140421</w:t>
      </w:r>
      <w:r w:rsidRPr="0082321A">
        <w:rPr>
          <w:lang w:val="en-US"/>
        </w:rPr>
        <w:fldChar w:fldCharType="end"/>
      </w:r>
      <w:r w:rsidRPr="0082321A">
        <w:rPr>
          <w:lang w:val="en-US"/>
        </w:rPr>
        <w:t>, “New Study Item on Cellular System Support for Ultra Low Complexity and Low Throughput Internet of Things (</w:t>
      </w:r>
      <w:proofErr w:type="spellStart"/>
      <w:r w:rsidRPr="0082321A">
        <w:rPr>
          <w:lang w:val="en-US"/>
        </w:rPr>
        <w:t>FS_IoT_LC</w:t>
      </w:r>
      <w:proofErr w:type="spellEnd"/>
      <w:r w:rsidRPr="0082321A">
        <w:rPr>
          <w:lang w:val="en-US"/>
        </w:rPr>
        <w:t>) (revision of GP-140418)”, source VODAFONE Group Plc. GERAN#62.</w:t>
      </w:r>
      <w:bookmarkEnd w:id="3"/>
    </w:p>
    <w:sectPr w:rsidR="00BD00E0" w:rsidSect="00907159">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16AD05" w14:textId="77777777" w:rsidR="00C55540" w:rsidRDefault="00C55540">
      <w:pPr>
        <w:spacing w:after="0" w:line="240" w:lineRule="auto"/>
      </w:pPr>
      <w:r>
        <w:separator/>
      </w:r>
    </w:p>
  </w:endnote>
  <w:endnote w:type="continuationSeparator" w:id="0">
    <w:p w14:paraId="721736ED" w14:textId="77777777" w:rsidR="00C55540" w:rsidRDefault="00C55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A81FC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1FC8">
      <w:rPr>
        <w:rStyle w:val="PageNumber"/>
        <w:noProof/>
      </w:rPr>
      <w:t>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7FC17" w14:textId="77777777" w:rsidR="00C55540" w:rsidRDefault="00C55540">
      <w:pPr>
        <w:spacing w:after="0" w:line="240" w:lineRule="auto"/>
      </w:pPr>
      <w:r>
        <w:separator/>
      </w:r>
    </w:p>
  </w:footnote>
  <w:footnote w:type="continuationSeparator" w:id="0">
    <w:p w14:paraId="4C252B45" w14:textId="77777777" w:rsidR="00C55540" w:rsidRDefault="00C55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0DC69CD5" w:rsidR="00F70696" w:rsidRPr="0027266D" w:rsidRDefault="00EA4043" w:rsidP="00921C14">
    <w:pPr>
      <w:pStyle w:val="Header"/>
      <w:spacing w:after="0"/>
      <w:rPr>
        <w:lang w:val="en-US"/>
      </w:rPr>
    </w:pPr>
    <w:r w:rsidRPr="0027266D">
      <w:rPr>
        <w:lang w:val="en-US"/>
      </w:rPr>
      <w:t xml:space="preserve">3GPP TSG GERAN </w:t>
    </w:r>
    <w:r w:rsidR="0027266D" w:rsidRPr="0027266D">
      <w:rPr>
        <w:lang w:val="en-US"/>
      </w:rPr>
      <w:t>Ad Hoc on EC-GSM and eDRX</w:t>
    </w:r>
    <w:r w:rsidR="00F70696" w:rsidRPr="0027266D">
      <w:rPr>
        <w:lang w:val="en-US"/>
      </w:rPr>
      <w:tab/>
    </w:r>
    <w:proofErr w:type="spellStart"/>
    <w:r w:rsidR="00F70696" w:rsidRPr="0027266D">
      <w:rPr>
        <w:lang w:val="en-US"/>
      </w:rPr>
      <w:t>Tdoc</w:t>
    </w:r>
    <w:proofErr w:type="spellEnd"/>
    <w:r w:rsidR="00F70696" w:rsidRPr="0027266D">
      <w:rPr>
        <w:lang w:val="en-US"/>
      </w:rPr>
      <w:t xml:space="preserve"> GP</w:t>
    </w:r>
    <w:r w:rsidR="0027266D">
      <w:rPr>
        <w:lang w:val="en-US"/>
      </w:rPr>
      <w:t>E</w:t>
    </w:r>
    <w:r w:rsidR="00F70696" w:rsidRPr="0027266D">
      <w:rPr>
        <w:lang w:val="en-US"/>
      </w:rPr>
      <w:t>150</w:t>
    </w:r>
    <w:r w:rsidR="00A234CF" w:rsidRPr="00A234CF">
      <w:rPr>
        <w:lang w:val="en-US"/>
      </w:rPr>
      <w:t>046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72B84" w14:textId="344B0AC0" w:rsidR="00F70696" w:rsidRPr="00862DB8" w:rsidRDefault="00F70696" w:rsidP="0094078F">
    <w:pPr>
      <w:pStyle w:val="Header"/>
      <w:spacing w:after="0"/>
      <w:rPr>
        <w:lang w:val="en-US"/>
      </w:rPr>
    </w:pPr>
    <w:r w:rsidRPr="00862DB8">
      <w:rPr>
        <w:lang w:val="en-US"/>
      </w:rPr>
      <w:t xml:space="preserve">3GPP TSG GERAN </w:t>
    </w:r>
    <w:r w:rsidR="00862DB8" w:rsidRPr="00862DB8">
      <w:rPr>
        <w:lang w:val="en-US"/>
      </w:rPr>
      <w:t>Ad Hoc on EC-GSM and eDRX</w:t>
    </w:r>
    <w:r w:rsidRPr="00862DB8">
      <w:rPr>
        <w:lang w:val="en-US"/>
      </w:rPr>
      <w:tab/>
    </w:r>
    <w:proofErr w:type="spellStart"/>
    <w:r w:rsidRPr="00862DB8">
      <w:rPr>
        <w:lang w:val="en-US"/>
      </w:rPr>
      <w:t>Tdoc</w:t>
    </w:r>
    <w:proofErr w:type="spellEnd"/>
    <w:r w:rsidRPr="00862DB8">
      <w:rPr>
        <w:lang w:val="en-US"/>
      </w:rPr>
      <w:t xml:space="preserve"> GP</w:t>
    </w:r>
    <w:r w:rsidR="001E482A">
      <w:rPr>
        <w:lang w:val="en-US"/>
      </w:rPr>
      <w:t>E</w:t>
    </w:r>
    <w:r w:rsidRPr="00862DB8">
      <w:rPr>
        <w:lang w:val="en-US"/>
      </w:rPr>
      <w:t>150</w:t>
    </w:r>
    <w:r w:rsidR="00B75194">
      <w:rPr>
        <w:lang w:val="en-US"/>
      </w:rPr>
      <w:t>046</w:t>
    </w:r>
  </w:p>
  <w:p w14:paraId="697D431D" w14:textId="11AAB611" w:rsidR="00F70696" w:rsidRDefault="00862DB8" w:rsidP="0094078F">
    <w:pPr>
      <w:pStyle w:val="Header"/>
      <w:spacing w:after="0"/>
      <w:rPr>
        <w:lang w:val="it-IT"/>
      </w:rPr>
    </w:pPr>
    <w:r>
      <w:rPr>
        <w:lang w:val="it-IT"/>
      </w:rPr>
      <w:t>Stockholm, Sweden</w:t>
    </w:r>
    <w:r w:rsidR="00F70696">
      <w:rPr>
        <w:lang w:val="it-IT"/>
      </w:rPr>
      <w:tab/>
    </w:r>
    <w:r w:rsidR="00F70696">
      <w:rPr>
        <w:lang w:val="it-IT"/>
      </w:rPr>
      <w:tab/>
      <w:t>Agenda item</w:t>
    </w:r>
    <w:r w:rsidR="00601107">
      <w:rPr>
        <w:lang w:val="it-IT"/>
      </w:rPr>
      <w:t xml:space="preserve"> 4.1</w:t>
    </w:r>
    <w:r w:rsidR="00F70696">
      <w:rPr>
        <w:lang w:val="it-IT"/>
      </w:rPr>
      <w:t xml:space="preserve"> </w:t>
    </w:r>
  </w:p>
  <w:p w14:paraId="29420902" w14:textId="4E2EB994" w:rsidR="00F70696" w:rsidRPr="0094078F" w:rsidRDefault="001E7725" w:rsidP="0094078F">
    <w:pPr>
      <w:pStyle w:val="Header"/>
      <w:spacing w:after="0"/>
      <w:rPr>
        <w:snapToGrid w:val="0"/>
        <w:lang w:val="en-US"/>
      </w:rPr>
    </w:pPr>
    <w:r>
      <w:rPr>
        <w:lang w:val="en-US"/>
      </w:rPr>
      <w:t>12</w:t>
    </w:r>
    <w:r w:rsidRPr="001E7725">
      <w:rPr>
        <w:vertAlign w:val="superscript"/>
        <w:lang w:val="en-US"/>
      </w:rPr>
      <w:t>th</w:t>
    </w:r>
    <w:r>
      <w:rPr>
        <w:lang w:val="en-US"/>
      </w:rPr>
      <w:t xml:space="preserve"> – 13</w:t>
    </w:r>
    <w:r w:rsidRPr="001E7725">
      <w:rPr>
        <w:vertAlign w:val="superscript"/>
        <w:lang w:val="en-US"/>
      </w:rPr>
      <w:t>th</w:t>
    </w:r>
    <w:r>
      <w:rPr>
        <w:lang w:val="en-US"/>
      </w:rPr>
      <w:t xml:space="preserve"> October</w:t>
    </w:r>
    <w:r w:rsidR="00F70696" w:rsidRPr="00C504D8">
      <w:rPr>
        <w:lang w:val="en-US"/>
      </w:rPr>
      <w:t>, 2015</w:t>
    </w:r>
    <w:r w:rsidR="00F70696" w:rsidRPr="00C504D8">
      <w:rPr>
        <w:lang w:val="en-US"/>
      </w:rPr>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4">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8">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0">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3">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5">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7">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8">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0">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1"/>
  </w:num>
  <w:num w:numId="2">
    <w:abstractNumId w:val="6"/>
  </w:num>
  <w:num w:numId="3">
    <w:abstractNumId w:val="6"/>
    <w:lvlOverride w:ilvl="0">
      <w:startOverride w:val="1"/>
    </w:lvlOverride>
  </w:num>
  <w:num w:numId="4">
    <w:abstractNumId w:val="4"/>
  </w:num>
  <w:num w:numId="5">
    <w:abstractNumId w:val="21"/>
  </w:num>
  <w:num w:numId="6">
    <w:abstractNumId w:val="18"/>
  </w:num>
  <w:num w:numId="7">
    <w:abstractNumId w:val="12"/>
  </w:num>
  <w:num w:numId="8">
    <w:abstractNumId w:val="19"/>
  </w:num>
  <w:num w:numId="9">
    <w:abstractNumId w:val="8"/>
  </w:num>
  <w:num w:numId="10">
    <w:abstractNumId w:val="17"/>
  </w:num>
  <w:num w:numId="11">
    <w:abstractNumId w:val="9"/>
  </w:num>
  <w:num w:numId="12">
    <w:abstractNumId w:val="16"/>
  </w:num>
  <w:num w:numId="13">
    <w:abstractNumId w:val="7"/>
  </w:num>
  <w:num w:numId="14">
    <w:abstractNumId w:val="14"/>
  </w:num>
  <w:num w:numId="15">
    <w:abstractNumId w:val="3"/>
  </w:num>
  <w:num w:numId="16">
    <w:abstractNumId w:val="20"/>
  </w:num>
  <w:num w:numId="17">
    <w:abstractNumId w:val="1"/>
  </w:num>
  <w:num w:numId="18">
    <w:abstractNumId w:val="10"/>
  </w:num>
  <w:num w:numId="19">
    <w:abstractNumId w:val="2"/>
  </w:num>
  <w:num w:numId="20">
    <w:abstractNumId w:val="5"/>
  </w:num>
  <w:num w:numId="21">
    <w:abstractNumId w:val="13"/>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06358"/>
    <w:rsid w:val="00007063"/>
    <w:rsid w:val="00013A82"/>
    <w:rsid w:val="00013F1F"/>
    <w:rsid w:val="0001457A"/>
    <w:rsid w:val="000328BD"/>
    <w:rsid w:val="0003514C"/>
    <w:rsid w:val="00035699"/>
    <w:rsid w:val="00036578"/>
    <w:rsid w:val="00044867"/>
    <w:rsid w:val="000465D9"/>
    <w:rsid w:val="00053329"/>
    <w:rsid w:val="000545C7"/>
    <w:rsid w:val="0005551B"/>
    <w:rsid w:val="00057B85"/>
    <w:rsid w:val="00061DE1"/>
    <w:rsid w:val="00072597"/>
    <w:rsid w:val="00083CE5"/>
    <w:rsid w:val="0008783D"/>
    <w:rsid w:val="000953DD"/>
    <w:rsid w:val="000A0209"/>
    <w:rsid w:val="000A1CFD"/>
    <w:rsid w:val="000A422D"/>
    <w:rsid w:val="000A4647"/>
    <w:rsid w:val="000A5EA1"/>
    <w:rsid w:val="000A78AF"/>
    <w:rsid w:val="000B01A2"/>
    <w:rsid w:val="000B3728"/>
    <w:rsid w:val="000B6406"/>
    <w:rsid w:val="000C0298"/>
    <w:rsid w:val="000C0B6A"/>
    <w:rsid w:val="000C3D05"/>
    <w:rsid w:val="000C460D"/>
    <w:rsid w:val="000C74DD"/>
    <w:rsid w:val="000C7E5D"/>
    <w:rsid w:val="000D446B"/>
    <w:rsid w:val="000E05A4"/>
    <w:rsid w:val="000F0062"/>
    <w:rsid w:val="000F44B3"/>
    <w:rsid w:val="000F6E6D"/>
    <w:rsid w:val="001049B9"/>
    <w:rsid w:val="00111C24"/>
    <w:rsid w:val="00111D00"/>
    <w:rsid w:val="00111E8F"/>
    <w:rsid w:val="00114767"/>
    <w:rsid w:val="00130B3C"/>
    <w:rsid w:val="0014335A"/>
    <w:rsid w:val="001439B7"/>
    <w:rsid w:val="00146EE4"/>
    <w:rsid w:val="001472DE"/>
    <w:rsid w:val="00147816"/>
    <w:rsid w:val="00154AE4"/>
    <w:rsid w:val="001619C1"/>
    <w:rsid w:val="0016446F"/>
    <w:rsid w:val="00166330"/>
    <w:rsid w:val="00167F5D"/>
    <w:rsid w:val="00172CC6"/>
    <w:rsid w:val="00193163"/>
    <w:rsid w:val="00194EA9"/>
    <w:rsid w:val="00195059"/>
    <w:rsid w:val="001A1642"/>
    <w:rsid w:val="001A20AC"/>
    <w:rsid w:val="001B1E6B"/>
    <w:rsid w:val="001B4BB0"/>
    <w:rsid w:val="001B4FCE"/>
    <w:rsid w:val="001C5E15"/>
    <w:rsid w:val="001D08A6"/>
    <w:rsid w:val="001D5203"/>
    <w:rsid w:val="001D56CD"/>
    <w:rsid w:val="001E07BB"/>
    <w:rsid w:val="001E482A"/>
    <w:rsid w:val="001E4E45"/>
    <w:rsid w:val="001E7725"/>
    <w:rsid w:val="001F2A99"/>
    <w:rsid w:val="00222973"/>
    <w:rsid w:val="00226A06"/>
    <w:rsid w:val="00233A28"/>
    <w:rsid w:val="00234BE1"/>
    <w:rsid w:val="002368E2"/>
    <w:rsid w:val="00237305"/>
    <w:rsid w:val="00254356"/>
    <w:rsid w:val="002545EA"/>
    <w:rsid w:val="00262E28"/>
    <w:rsid w:val="002701BE"/>
    <w:rsid w:val="0027266D"/>
    <w:rsid w:val="0028076C"/>
    <w:rsid w:val="002845AC"/>
    <w:rsid w:val="00296225"/>
    <w:rsid w:val="002968B5"/>
    <w:rsid w:val="002B1FA8"/>
    <w:rsid w:val="002B3109"/>
    <w:rsid w:val="002B665F"/>
    <w:rsid w:val="002C5909"/>
    <w:rsid w:val="002D0FE6"/>
    <w:rsid w:val="002D3E7F"/>
    <w:rsid w:val="002D442C"/>
    <w:rsid w:val="002D49D9"/>
    <w:rsid w:val="002D591E"/>
    <w:rsid w:val="002D6177"/>
    <w:rsid w:val="002D7589"/>
    <w:rsid w:val="002F28F5"/>
    <w:rsid w:val="002F7389"/>
    <w:rsid w:val="002F741A"/>
    <w:rsid w:val="00325881"/>
    <w:rsid w:val="00337AFC"/>
    <w:rsid w:val="00337B5D"/>
    <w:rsid w:val="003456E5"/>
    <w:rsid w:val="003507FB"/>
    <w:rsid w:val="003538E6"/>
    <w:rsid w:val="00354F47"/>
    <w:rsid w:val="0035787B"/>
    <w:rsid w:val="00357B2C"/>
    <w:rsid w:val="00360F22"/>
    <w:rsid w:val="00376F3B"/>
    <w:rsid w:val="00377AA6"/>
    <w:rsid w:val="00380770"/>
    <w:rsid w:val="00383E42"/>
    <w:rsid w:val="00385B2B"/>
    <w:rsid w:val="0039305D"/>
    <w:rsid w:val="00394CC2"/>
    <w:rsid w:val="003952F5"/>
    <w:rsid w:val="003A04E7"/>
    <w:rsid w:val="003A0B5C"/>
    <w:rsid w:val="003A0C76"/>
    <w:rsid w:val="003A1964"/>
    <w:rsid w:val="003A1D0B"/>
    <w:rsid w:val="003A2F8F"/>
    <w:rsid w:val="003A4282"/>
    <w:rsid w:val="003C1369"/>
    <w:rsid w:val="003C3539"/>
    <w:rsid w:val="003C45CC"/>
    <w:rsid w:val="003D07D1"/>
    <w:rsid w:val="003D1796"/>
    <w:rsid w:val="003D1B73"/>
    <w:rsid w:val="003D2BE0"/>
    <w:rsid w:val="003E3542"/>
    <w:rsid w:val="003E63B1"/>
    <w:rsid w:val="003F0BD2"/>
    <w:rsid w:val="003F4BD7"/>
    <w:rsid w:val="004007E7"/>
    <w:rsid w:val="00402A48"/>
    <w:rsid w:val="00413593"/>
    <w:rsid w:val="00414B6B"/>
    <w:rsid w:val="00414D73"/>
    <w:rsid w:val="00415FC0"/>
    <w:rsid w:val="0043102B"/>
    <w:rsid w:val="00431416"/>
    <w:rsid w:val="0043196E"/>
    <w:rsid w:val="0043460B"/>
    <w:rsid w:val="004346E5"/>
    <w:rsid w:val="00437685"/>
    <w:rsid w:val="004455C5"/>
    <w:rsid w:val="004470BD"/>
    <w:rsid w:val="00455376"/>
    <w:rsid w:val="004611FA"/>
    <w:rsid w:val="00461E05"/>
    <w:rsid w:val="00464244"/>
    <w:rsid w:val="0046465A"/>
    <w:rsid w:val="004664C9"/>
    <w:rsid w:val="00466AEC"/>
    <w:rsid w:val="004808B1"/>
    <w:rsid w:val="00484F65"/>
    <w:rsid w:val="00485D94"/>
    <w:rsid w:val="004865D7"/>
    <w:rsid w:val="00490582"/>
    <w:rsid w:val="00496F15"/>
    <w:rsid w:val="004A252F"/>
    <w:rsid w:val="004B0366"/>
    <w:rsid w:val="004B0AC0"/>
    <w:rsid w:val="004B117F"/>
    <w:rsid w:val="004B48CA"/>
    <w:rsid w:val="004B5A69"/>
    <w:rsid w:val="004B70AF"/>
    <w:rsid w:val="004C2155"/>
    <w:rsid w:val="004C2613"/>
    <w:rsid w:val="004D1277"/>
    <w:rsid w:val="004D17AA"/>
    <w:rsid w:val="004D558D"/>
    <w:rsid w:val="004E018E"/>
    <w:rsid w:val="004E26E4"/>
    <w:rsid w:val="004E4D55"/>
    <w:rsid w:val="004E68EC"/>
    <w:rsid w:val="004F17F5"/>
    <w:rsid w:val="004F3485"/>
    <w:rsid w:val="004F41FE"/>
    <w:rsid w:val="004F46EB"/>
    <w:rsid w:val="00503335"/>
    <w:rsid w:val="00506210"/>
    <w:rsid w:val="00515A66"/>
    <w:rsid w:val="00516825"/>
    <w:rsid w:val="005240B4"/>
    <w:rsid w:val="005555F7"/>
    <w:rsid w:val="00561C54"/>
    <w:rsid w:val="005633C1"/>
    <w:rsid w:val="005676B5"/>
    <w:rsid w:val="00571526"/>
    <w:rsid w:val="00571B62"/>
    <w:rsid w:val="005723DB"/>
    <w:rsid w:val="00575984"/>
    <w:rsid w:val="00577523"/>
    <w:rsid w:val="00587E1A"/>
    <w:rsid w:val="00596115"/>
    <w:rsid w:val="005B34C9"/>
    <w:rsid w:val="005D0966"/>
    <w:rsid w:val="005D15AB"/>
    <w:rsid w:val="005D3FA1"/>
    <w:rsid w:val="005D66F3"/>
    <w:rsid w:val="005E0322"/>
    <w:rsid w:val="005E3DD1"/>
    <w:rsid w:val="005E50F2"/>
    <w:rsid w:val="005E55F3"/>
    <w:rsid w:val="005E59E7"/>
    <w:rsid w:val="005F1C42"/>
    <w:rsid w:val="005F4023"/>
    <w:rsid w:val="00601107"/>
    <w:rsid w:val="006078E2"/>
    <w:rsid w:val="00626B7A"/>
    <w:rsid w:val="00627CE9"/>
    <w:rsid w:val="006322F6"/>
    <w:rsid w:val="00634293"/>
    <w:rsid w:val="006356A0"/>
    <w:rsid w:val="0063596B"/>
    <w:rsid w:val="00640CBC"/>
    <w:rsid w:val="0064648C"/>
    <w:rsid w:val="00650AE1"/>
    <w:rsid w:val="00654D19"/>
    <w:rsid w:val="00660CC6"/>
    <w:rsid w:val="006627BD"/>
    <w:rsid w:val="00662A30"/>
    <w:rsid w:val="00670189"/>
    <w:rsid w:val="00670781"/>
    <w:rsid w:val="0067653F"/>
    <w:rsid w:val="00676CD7"/>
    <w:rsid w:val="006817D6"/>
    <w:rsid w:val="00683CF7"/>
    <w:rsid w:val="00690029"/>
    <w:rsid w:val="006907FF"/>
    <w:rsid w:val="00692C23"/>
    <w:rsid w:val="0069317D"/>
    <w:rsid w:val="006942C8"/>
    <w:rsid w:val="006A57C7"/>
    <w:rsid w:val="006A798B"/>
    <w:rsid w:val="006B4B8D"/>
    <w:rsid w:val="006B4C0C"/>
    <w:rsid w:val="006B6993"/>
    <w:rsid w:val="006C0D47"/>
    <w:rsid w:val="006C3288"/>
    <w:rsid w:val="006C397D"/>
    <w:rsid w:val="006C4B8D"/>
    <w:rsid w:val="006C58B5"/>
    <w:rsid w:val="006C5BFF"/>
    <w:rsid w:val="006C6324"/>
    <w:rsid w:val="006D1769"/>
    <w:rsid w:val="006D7C43"/>
    <w:rsid w:val="006E76EB"/>
    <w:rsid w:val="006F148B"/>
    <w:rsid w:val="006F28A9"/>
    <w:rsid w:val="006F2B92"/>
    <w:rsid w:val="006F7DED"/>
    <w:rsid w:val="0070095B"/>
    <w:rsid w:val="00702A52"/>
    <w:rsid w:val="00702A69"/>
    <w:rsid w:val="0070344E"/>
    <w:rsid w:val="00703FF2"/>
    <w:rsid w:val="0070688F"/>
    <w:rsid w:val="007108F8"/>
    <w:rsid w:val="00712138"/>
    <w:rsid w:val="00716BBF"/>
    <w:rsid w:val="00722081"/>
    <w:rsid w:val="007247EC"/>
    <w:rsid w:val="0073040D"/>
    <w:rsid w:val="0073048A"/>
    <w:rsid w:val="0073352A"/>
    <w:rsid w:val="00736384"/>
    <w:rsid w:val="007430CA"/>
    <w:rsid w:val="007515F0"/>
    <w:rsid w:val="007534B5"/>
    <w:rsid w:val="00753D74"/>
    <w:rsid w:val="007573FC"/>
    <w:rsid w:val="00757E7E"/>
    <w:rsid w:val="007643F3"/>
    <w:rsid w:val="00765577"/>
    <w:rsid w:val="00765F8D"/>
    <w:rsid w:val="0076741A"/>
    <w:rsid w:val="00776A88"/>
    <w:rsid w:val="00781EB8"/>
    <w:rsid w:val="00786653"/>
    <w:rsid w:val="00786B3C"/>
    <w:rsid w:val="00790B8D"/>
    <w:rsid w:val="007948E2"/>
    <w:rsid w:val="007A0DEA"/>
    <w:rsid w:val="007A137F"/>
    <w:rsid w:val="007A42E3"/>
    <w:rsid w:val="007B2A51"/>
    <w:rsid w:val="007B5B67"/>
    <w:rsid w:val="007B5BB9"/>
    <w:rsid w:val="007C17F3"/>
    <w:rsid w:val="007C5771"/>
    <w:rsid w:val="007C598C"/>
    <w:rsid w:val="007C78E4"/>
    <w:rsid w:val="007D25A2"/>
    <w:rsid w:val="007D3104"/>
    <w:rsid w:val="007D77A5"/>
    <w:rsid w:val="007E01B4"/>
    <w:rsid w:val="007E1B01"/>
    <w:rsid w:val="007E3D54"/>
    <w:rsid w:val="007F056B"/>
    <w:rsid w:val="007F0D92"/>
    <w:rsid w:val="007F743D"/>
    <w:rsid w:val="0080578F"/>
    <w:rsid w:val="008062A3"/>
    <w:rsid w:val="00807D9A"/>
    <w:rsid w:val="00810D18"/>
    <w:rsid w:val="00810E2F"/>
    <w:rsid w:val="00811BE0"/>
    <w:rsid w:val="00811C3B"/>
    <w:rsid w:val="008228C8"/>
    <w:rsid w:val="00822A0E"/>
    <w:rsid w:val="0082321A"/>
    <w:rsid w:val="00827834"/>
    <w:rsid w:val="00840691"/>
    <w:rsid w:val="00844ABC"/>
    <w:rsid w:val="00845615"/>
    <w:rsid w:val="00846F9A"/>
    <w:rsid w:val="0085544D"/>
    <w:rsid w:val="00861328"/>
    <w:rsid w:val="00862DB8"/>
    <w:rsid w:val="008673C3"/>
    <w:rsid w:val="00870D1E"/>
    <w:rsid w:val="008869AA"/>
    <w:rsid w:val="008938D9"/>
    <w:rsid w:val="00894DC7"/>
    <w:rsid w:val="008B3DF2"/>
    <w:rsid w:val="008B4B43"/>
    <w:rsid w:val="008B6DBD"/>
    <w:rsid w:val="008B72B8"/>
    <w:rsid w:val="008C1ECC"/>
    <w:rsid w:val="008C4E46"/>
    <w:rsid w:val="008C7860"/>
    <w:rsid w:val="008D1F6A"/>
    <w:rsid w:val="008D246D"/>
    <w:rsid w:val="008E0B78"/>
    <w:rsid w:val="008E37D2"/>
    <w:rsid w:val="008E3C98"/>
    <w:rsid w:val="008E6DFF"/>
    <w:rsid w:val="008F05C1"/>
    <w:rsid w:val="008F1117"/>
    <w:rsid w:val="008F2847"/>
    <w:rsid w:val="008F4B58"/>
    <w:rsid w:val="008F6593"/>
    <w:rsid w:val="00906620"/>
    <w:rsid w:val="00907159"/>
    <w:rsid w:val="00910F81"/>
    <w:rsid w:val="009120E8"/>
    <w:rsid w:val="00921C14"/>
    <w:rsid w:val="00936AA8"/>
    <w:rsid w:val="0094078F"/>
    <w:rsid w:val="00943982"/>
    <w:rsid w:val="009441DC"/>
    <w:rsid w:val="00952B5A"/>
    <w:rsid w:val="00952F34"/>
    <w:rsid w:val="00956A3B"/>
    <w:rsid w:val="009609D2"/>
    <w:rsid w:val="00962A9D"/>
    <w:rsid w:val="00980A4B"/>
    <w:rsid w:val="00981B67"/>
    <w:rsid w:val="00982514"/>
    <w:rsid w:val="0099364A"/>
    <w:rsid w:val="009A0A4A"/>
    <w:rsid w:val="009A1611"/>
    <w:rsid w:val="009A5241"/>
    <w:rsid w:val="009B1715"/>
    <w:rsid w:val="009B3B57"/>
    <w:rsid w:val="009D2401"/>
    <w:rsid w:val="009D5B06"/>
    <w:rsid w:val="009D7551"/>
    <w:rsid w:val="009E2189"/>
    <w:rsid w:val="009E2543"/>
    <w:rsid w:val="009E2C30"/>
    <w:rsid w:val="009E608D"/>
    <w:rsid w:val="009E6285"/>
    <w:rsid w:val="009E754F"/>
    <w:rsid w:val="009F27B2"/>
    <w:rsid w:val="00A0640F"/>
    <w:rsid w:val="00A1082D"/>
    <w:rsid w:val="00A11D3A"/>
    <w:rsid w:val="00A141DC"/>
    <w:rsid w:val="00A234CF"/>
    <w:rsid w:val="00A236EE"/>
    <w:rsid w:val="00A407F0"/>
    <w:rsid w:val="00A4250C"/>
    <w:rsid w:val="00A446B5"/>
    <w:rsid w:val="00A51441"/>
    <w:rsid w:val="00A6256F"/>
    <w:rsid w:val="00A62A40"/>
    <w:rsid w:val="00A62AE6"/>
    <w:rsid w:val="00A637B5"/>
    <w:rsid w:val="00A66DD2"/>
    <w:rsid w:val="00A737F5"/>
    <w:rsid w:val="00A74338"/>
    <w:rsid w:val="00A8058C"/>
    <w:rsid w:val="00A81FC8"/>
    <w:rsid w:val="00A83173"/>
    <w:rsid w:val="00A83265"/>
    <w:rsid w:val="00A84CF7"/>
    <w:rsid w:val="00A900C3"/>
    <w:rsid w:val="00A90F92"/>
    <w:rsid w:val="00A93BBA"/>
    <w:rsid w:val="00AA5568"/>
    <w:rsid w:val="00AB02F0"/>
    <w:rsid w:val="00AB4F43"/>
    <w:rsid w:val="00AC0305"/>
    <w:rsid w:val="00AC29D7"/>
    <w:rsid w:val="00AC747A"/>
    <w:rsid w:val="00AD1769"/>
    <w:rsid w:val="00AD6712"/>
    <w:rsid w:val="00AF03B2"/>
    <w:rsid w:val="00AF388B"/>
    <w:rsid w:val="00AF48D8"/>
    <w:rsid w:val="00AF7959"/>
    <w:rsid w:val="00B006A9"/>
    <w:rsid w:val="00B14C0C"/>
    <w:rsid w:val="00B23246"/>
    <w:rsid w:val="00B266D4"/>
    <w:rsid w:val="00B27C20"/>
    <w:rsid w:val="00B3298F"/>
    <w:rsid w:val="00B35530"/>
    <w:rsid w:val="00B35818"/>
    <w:rsid w:val="00B35E6C"/>
    <w:rsid w:val="00B42495"/>
    <w:rsid w:val="00B5059A"/>
    <w:rsid w:val="00B518B9"/>
    <w:rsid w:val="00B5773D"/>
    <w:rsid w:val="00B73551"/>
    <w:rsid w:val="00B737AA"/>
    <w:rsid w:val="00B75194"/>
    <w:rsid w:val="00B81CF4"/>
    <w:rsid w:val="00B9025F"/>
    <w:rsid w:val="00B958DC"/>
    <w:rsid w:val="00BA0698"/>
    <w:rsid w:val="00BA0719"/>
    <w:rsid w:val="00BA0980"/>
    <w:rsid w:val="00BA5F6A"/>
    <w:rsid w:val="00BB357F"/>
    <w:rsid w:val="00BB3C9A"/>
    <w:rsid w:val="00BB74AF"/>
    <w:rsid w:val="00BC0263"/>
    <w:rsid w:val="00BC10CB"/>
    <w:rsid w:val="00BC2636"/>
    <w:rsid w:val="00BC3308"/>
    <w:rsid w:val="00BC77C7"/>
    <w:rsid w:val="00BC78AF"/>
    <w:rsid w:val="00BD00E0"/>
    <w:rsid w:val="00BD506C"/>
    <w:rsid w:val="00BD5BB9"/>
    <w:rsid w:val="00BD64D2"/>
    <w:rsid w:val="00BD7A87"/>
    <w:rsid w:val="00BE490A"/>
    <w:rsid w:val="00BF0B86"/>
    <w:rsid w:val="00C009B5"/>
    <w:rsid w:val="00C0342C"/>
    <w:rsid w:val="00C0533D"/>
    <w:rsid w:val="00C15895"/>
    <w:rsid w:val="00C2240A"/>
    <w:rsid w:val="00C22F9C"/>
    <w:rsid w:val="00C36704"/>
    <w:rsid w:val="00C4024E"/>
    <w:rsid w:val="00C46900"/>
    <w:rsid w:val="00C51749"/>
    <w:rsid w:val="00C554C0"/>
    <w:rsid w:val="00C55540"/>
    <w:rsid w:val="00C57517"/>
    <w:rsid w:val="00C70A44"/>
    <w:rsid w:val="00C71BC3"/>
    <w:rsid w:val="00C74D49"/>
    <w:rsid w:val="00C80A0A"/>
    <w:rsid w:val="00C9118E"/>
    <w:rsid w:val="00C92203"/>
    <w:rsid w:val="00C95B1C"/>
    <w:rsid w:val="00CA2C08"/>
    <w:rsid w:val="00CA6F19"/>
    <w:rsid w:val="00CB1493"/>
    <w:rsid w:val="00CB230E"/>
    <w:rsid w:val="00CB4358"/>
    <w:rsid w:val="00CB4CB0"/>
    <w:rsid w:val="00CC140E"/>
    <w:rsid w:val="00CC3211"/>
    <w:rsid w:val="00CC3288"/>
    <w:rsid w:val="00CC43DB"/>
    <w:rsid w:val="00CC4816"/>
    <w:rsid w:val="00CC5F3A"/>
    <w:rsid w:val="00CC67A1"/>
    <w:rsid w:val="00CE720B"/>
    <w:rsid w:val="00CE7EF9"/>
    <w:rsid w:val="00CF2F01"/>
    <w:rsid w:val="00D0010A"/>
    <w:rsid w:val="00D01043"/>
    <w:rsid w:val="00D025CC"/>
    <w:rsid w:val="00D070F5"/>
    <w:rsid w:val="00D104B2"/>
    <w:rsid w:val="00D10EF0"/>
    <w:rsid w:val="00D13635"/>
    <w:rsid w:val="00D1417F"/>
    <w:rsid w:val="00D176AA"/>
    <w:rsid w:val="00D226D9"/>
    <w:rsid w:val="00D22CAD"/>
    <w:rsid w:val="00D32764"/>
    <w:rsid w:val="00D3518D"/>
    <w:rsid w:val="00D3658E"/>
    <w:rsid w:val="00D376F9"/>
    <w:rsid w:val="00D44171"/>
    <w:rsid w:val="00D45C86"/>
    <w:rsid w:val="00D5553D"/>
    <w:rsid w:val="00D72ADD"/>
    <w:rsid w:val="00D72E16"/>
    <w:rsid w:val="00D74BDB"/>
    <w:rsid w:val="00D755F1"/>
    <w:rsid w:val="00D83B08"/>
    <w:rsid w:val="00DA0A23"/>
    <w:rsid w:val="00DA12E5"/>
    <w:rsid w:val="00DA2BF4"/>
    <w:rsid w:val="00DA538B"/>
    <w:rsid w:val="00DA7657"/>
    <w:rsid w:val="00DB171D"/>
    <w:rsid w:val="00DB5D02"/>
    <w:rsid w:val="00DB6CAD"/>
    <w:rsid w:val="00DC18DF"/>
    <w:rsid w:val="00DD2AD5"/>
    <w:rsid w:val="00DD548A"/>
    <w:rsid w:val="00DD5D14"/>
    <w:rsid w:val="00DE096C"/>
    <w:rsid w:val="00DE1ECB"/>
    <w:rsid w:val="00DE7460"/>
    <w:rsid w:val="00DE77B2"/>
    <w:rsid w:val="00DE7E5E"/>
    <w:rsid w:val="00DF4315"/>
    <w:rsid w:val="00DF7809"/>
    <w:rsid w:val="00E01558"/>
    <w:rsid w:val="00E01633"/>
    <w:rsid w:val="00E01E4E"/>
    <w:rsid w:val="00E055FE"/>
    <w:rsid w:val="00E069E8"/>
    <w:rsid w:val="00E12B90"/>
    <w:rsid w:val="00E16594"/>
    <w:rsid w:val="00E21004"/>
    <w:rsid w:val="00E26EE6"/>
    <w:rsid w:val="00E2730E"/>
    <w:rsid w:val="00E279FD"/>
    <w:rsid w:val="00E367DF"/>
    <w:rsid w:val="00E37349"/>
    <w:rsid w:val="00E41D36"/>
    <w:rsid w:val="00E4533B"/>
    <w:rsid w:val="00E47266"/>
    <w:rsid w:val="00E504C0"/>
    <w:rsid w:val="00E6072C"/>
    <w:rsid w:val="00E64BF9"/>
    <w:rsid w:val="00E64EEA"/>
    <w:rsid w:val="00E70450"/>
    <w:rsid w:val="00E70498"/>
    <w:rsid w:val="00E72BBF"/>
    <w:rsid w:val="00E83500"/>
    <w:rsid w:val="00E855DB"/>
    <w:rsid w:val="00E87D37"/>
    <w:rsid w:val="00E90239"/>
    <w:rsid w:val="00E92E98"/>
    <w:rsid w:val="00E9426C"/>
    <w:rsid w:val="00E9450E"/>
    <w:rsid w:val="00E973A6"/>
    <w:rsid w:val="00EA4043"/>
    <w:rsid w:val="00EB5E67"/>
    <w:rsid w:val="00EC300B"/>
    <w:rsid w:val="00EC5584"/>
    <w:rsid w:val="00EC5B88"/>
    <w:rsid w:val="00ED0634"/>
    <w:rsid w:val="00ED1C6E"/>
    <w:rsid w:val="00ED710E"/>
    <w:rsid w:val="00EF016C"/>
    <w:rsid w:val="00EF332B"/>
    <w:rsid w:val="00EF70B4"/>
    <w:rsid w:val="00EF77DE"/>
    <w:rsid w:val="00F00437"/>
    <w:rsid w:val="00F035FE"/>
    <w:rsid w:val="00F0477C"/>
    <w:rsid w:val="00F06840"/>
    <w:rsid w:val="00F07F83"/>
    <w:rsid w:val="00F119C8"/>
    <w:rsid w:val="00F130B7"/>
    <w:rsid w:val="00F14B61"/>
    <w:rsid w:val="00F20FFD"/>
    <w:rsid w:val="00F22563"/>
    <w:rsid w:val="00F22DF3"/>
    <w:rsid w:val="00F2388A"/>
    <w:rsid w:val="00F2522C"/>
    <w:rsid w:val="00F25DE3"/>
    <w:rsid w:val="00F27F18"/>
    <w:rsid w:val="00F3303C"/>
    <w:rsid w:val="00F46637"/>
    <w:rsid w:val="00F47D38"/>
    <w:rsid w:val="00F52779"/>
    <w:rsid w:val="00F5613A"/>
    <w:rsid w:val="00F60CC4"/>
    <w:rsid w:val="00F70696"/>
    <w:rsid w:val="00F857CA"/>
    <w:rsid w:val="00F870CF"/>
    <w:rsid w:val="00F9219A"/>
    <w:rsid w:val="00F93645"/>
    <w:rsid w:val="00FA2257"/>
    <w:rsid w:val="00FA2791"/>
    <w:rsid w:val="00FA55A1"/>
    <w:rsid w:val="00FB1F38"/>
    <w:rsid w:val="00FB2114"/>
    <w:rsid w:val="00FB6A94"/>
    <w:rsid w:val="00FC7F59"/>
    <w:rsid w:val="00FD07FC"/>
    <w:rsid w:val="00FD4852"/>
    <w:rsid w:val="00FD6BEA"/>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68BB8-C61D-4D48-BC2B-BB87A38D2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EAB</cp:lastModifiedBy>
  <cp:revision>4</cp:revision>
  <dcterms:created xsi:type="dcterms:W3CDTF">2015-10-06T23:46:00Z</dcterms:created>
  <dcterms:modified xsi:type="dcterms:W3CDTF">2015-10-06T23:48:00Z</dcterms:modified>
</cp:coreProperties>
</file>